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EC4151">
      <w:pPr>
        <w:tabs>
          <w:tab w:val="left" w:pos="542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BE1FE4">
        <w:rPr>
          <w:sz w:val="24"/>
          <w:szCs w:val="24"/>
        </w:rPr>
        <w:t>BROMATOLOGÍA I</w:t>
      </w:r>
      <w:r w:rsidR="00EC4151">
        <w:rPr>
          <w:sz w:val="24"/>
          <w:szCs w:val="24"/>
        </w:rPr>
        <w:t xml:space="preserve">                                                                   </w:t>
      </w:r>
      <w:r w:rsidR="00EC4151">
        <w:rPr>
          <w:b/>
          <w:sz w:val="24"/>
          <w:szCs w:val="24"/>
        </w:rPr>
        <w:t xml:space="preserve">Horas </w:t>
      </w:r>
      <w:proofErr w:type="spellStart"/>
      <w:r w:rsidR="00EC4151">
        <w:rPr>
          <w:b/>
          <w:sz w:val="24"/>
          <w:szCs w:val="24"/>
        </w:rPr>
        <w:t>Sem</w:t>
      </w:r>
      <w:proofErr w:type="spellEnd"/>
      <w:r w:rsidR="00EC4151">
        <w:rPr>
          <w:sz w:val="24"/>
          <w:szCs w:val="24"/>
        </w:rPr>
        <w:t xml:space="preserve">: 5  </w:t>
      </w:r>
      <w:r w:rsidR="00EC4151">
        <w:rPr>
          <w:sz w:val="24"/>
          <w:szCs w:val="24"/>
        </w:rPr>
        <w:t xml:space="preserve">  </w:t>
      </w:r>
    </w:p>
    <w:p w:rsidR="00B4720C" w:rsidRDefault="00B4720C" w:rsidP="00B4720C">
      <w:pPr>
        <w:jc w:val="both"/>
        <w:rPr>
          <w:sz w:val="24"/>
          <w:szCs w:val="24"/>
        </w:rPr>
      </w:pPr>
      <w:bookmarkStart w:id="0" w:name="_GoBack"/>
      <w:bookmarkEnd w:id="0"/>
    </w:p>
    <w:p w:rsidR="00B4720C" w:rsidRDefault="00B4720C" w:rsidP="00B472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OBJETIVOS:</w:t>
      </w:r>
    </w:p>
    <w:p w:rsidR="00BE1FE4" w:rsidRDefault="00BE1FE4" w:rsidP="00BE1FE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el marco legal e institucional en el que se desarrolla la inspección bromatológica.</w:t>
      </w:r>
    </w:p>
    <w:p w:rsidR="00BE1FE4" w:rsidRPr="00BE1FE4" w:rsidRDefault="00BE1FE4" w:rsidP="00BE1FE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la importancia de la labor educativa y preventiva por sobre la acción represiva. </w:t>
      </w: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F56584" w:rsidRPr="006004B1" w:rsidRDefault="00BE1FE4" w:rsidP="00600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función del técnico bromatológico. Orientación y directivas para la inspección sanitaria. Fiscalización. Higiene del establecimiento. Higiene personal. Salud, Presentación e higiene del manipulador – vendedor de alimentos. Higiene del proceso de elaboración. Higiene y estado de materia prima </w:t>
      </w:r>
      <w:r w:rsidR="00161A60">
        <w:rPr>
          <w:sz w:val="24"/>
          <w:szCs w:val="24"/>
        </w:rPr>
        <w:t xml:space="preserve">y aditivos. Acta de inspección. Toma de muestra. Intervención de productos. Acta de decomiso. Clausura. Sistema nacional de control de alimentos. Comisión nacional de control, facultades y prioridades. SENASA. El control dentro del MERCOSUR. Envasado, conservación y transporte de alimentos, inspecciones. Rotulaciones, verificaciones. La propuesta de prevención a través de la educación. </w:t>
      </w:r>
    </w:p>
    <w:sectPr w:rsidR="00F56584" w:rsidRPr="00600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161A60"/>
    <w:rsid w:val="001857CD"/>
    <w:rsid w:val="00257B87"/>
    <w:rsid w:val="00281370"/>
    <w:rsid w:val="004C6B52"/>
    <w:rsid w:val="006004B1"/>
    <w:rsid w:val="006731B2"/>
    <w:rsid w:val="007A7D84"/>
    <w:rsid w:val="00B039EE"/>
    <w:rsid w:val="00B4720C"/>
    <w:rsid w:val="00BC1F99"/>
    <w:rsid w:val="00BE1FE4"/>
    <w:rsid w:val="00CC4B9A"/>
    <w:rsid w:val="00D422DD"/>
    <w:rsid w:val="00E967DB"/>
    <w:rsid w:val="00EC4151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5</cp:revision>
  <dcterms:created xsi:type="dcterms:W3CDTF">2021-02-23T21:42:00Z</dcterms:created>
  <dcterms:modified xsi:type="dcterms:W3CDTF">2022-02-02T21:53:00Z</dcterms:modified>
</cp:coreProperties>
</file>